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D8" w:rsidRPr="006E2666" w:rsidRDefault="006E2666" w:rsidP="006E2666">
      <w:pPr>
        <w:spacing w:after="0" w:line="360" w:lineRule="auto"/>
        <w:rPr>
          <w:rFonts w:ascii="Nikosh" w:hAnsi="Nikosh" w:cs="Nikosh"/>
          <w:b/>
          <w:bCs/>
          <w:sz w:val="28"/>
          <w:u w:val="single"/>
        </w:rPr>
      </w:pPr>
      <w:r w:rsidRPr="006E2666">
        <w:rPr>
          <w:rFonts w:ascii="Nikosh" w:hAnsi="Nikosh" w:cs="Nikosh" w:hint="cs"/>
          <w:b/>
          <w:bCs/>
          <w:sz w:val="28"/>
          <w:u w:val="single"/>
          <w:cs/>
        </w:rPr>
        <w:t>শিল্প মন্ত্রণালয়:</w:t>
      </w:r>
    </w:p>
    <w:p w:rsidR="00EA78D8" w:rsidRDefault="00EA78D8" w:rsidP="009D5AC2">
      <w:pPr>
        <w:spacing w:after="0" w:line="240" w:lineRule="auto"/>
        <w:rPr>
          <w:rFonts w:ascii="Nikosh" w:hAnsi="Nikosh" w:cs="Nikosh"/>
          <w:sz w:val="28"/>
        </w:rPr>
      </w:pPr>
    </w:p>
    <w:tbl>
      <w:tblPr>
        <w:tblStyle w:val="TableGrid"/>
        <w:tblW w:w="9630" w:type="dxa"/>
        <w:tblInd w:w="108" w:type="dxa"/>
        <w:tblLook w:val="04A0"/>
      </w:tblPr>
      <w:tblGrid>
        <w:gridCol w:w="455"/>
        <w:gridCol w:w="2159"/>
        <w:gridCol w:w="285"/>
        <w:gridCol w:w="6731"/>
      </w:tblGrid>
      <w:tr w:rsidR="00EA78D8" w:rsidRPr="001A643A" w:rsidTr="00BA304D">
        <w:tc>
          <w:tcPr>
            <w:tcW w:w="45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১।</w:t>
            </w:r>
          </w:p>
        </w:tc>
        <w:tc>
          <w:tcPr>
            <w:tcW w:w="2159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নাম</w:t>
            </w:r>
          </w:p>
        </w:tc>
        <w:tc>
          <w:tcPr>
            <w:tcW w:w="28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A78D8" w:rsidRPr="00EB62CE" w:rsidRDefault="00EB62CE" w:rsidP="008520AE">
            <w:pPr>
              <w:rPr>
                <w:rFonts w:ascii="Times New Roman" w:hAnsi="Times New Roman"/>
                <w:sz w:val="26"/>
                <w:szCs w:val="26"/>
              </w:rPr>
            </w:pPr>
            <w:r w:rsidRPr="00EB62CE">
              <w:rPr>
                <w:rFonts w:ascii="Times New Roman" w:eastAsia="Nikosh" w:hAnsi="Times New Roman" w:cs="Times New Roman"/>
                <w:sz w:val="24"/>
                <w:szCs w:val="30"/>
              </w:rPr>
              <w:t>Safe and Environmentally Sound Ship Recycling in Bangladesh Phase-II (Capacity Building)</w:t>
            </w:r>
            <w:r>
              <w:rPr>
                <w:rFonts w:ascii="Times New Roman" w:eastAsia="Nikosh" w:hAnsi="Times New Roman"/>
                <w:sz w:val="24"/>
                <w:szCs w:val="30"/>
              </w:rPr>
              <w:t>.</w:t>
            </w:r>
          </w:p>
        </w:tc>
      </w:tr>
      <w:tr w:rsidR="00EA78D8" w:rsidRPr="001A643A" w:rsidTr="00BA304D">
        <w:tc>
          <w:tcPr>
            <w:tcW w:w="45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২।</w:t>
            </w:r>
          </w:p>
        </w:tc>
        <w:tc>
          <w:tcPr>
            <w:tcW w:w="2159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মেয়াদকাল</w:t>
            </w:r>
          </w:p>
        </w:tc>
        <w:tc>
          <w:tcPr>
            <w:tcW w:w="28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A78D8" w:rsidRPr="001A643A" w:rsidRDefault="000D417D" w:rsidP="008520AE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এপ্রিল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২০১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৮</w:t>
            </w:r>
            <w:r w:rsidRPr="00211138">
              <w:rPr>
                <w:rFonts w:ascii="Nikosh" w:eastAsia="Nikosh" w:hAnsi="Nikosh" w:cs="Nikosh"/>
                <w:sz w:val="26"/>
                <w:szCs w:val="26"/>
                <w:cs/>
              </w:rPr>
              <w:t xml:space="preserve"> হতে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ডিসেম্বর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</w:t>
            </w:r>
            <w:r w:rsidRPr="00211138">
              <w:rPr>
                <w:rFonts w:ascii="Nikosh" w:eastAsia="Nikosh" w:hAnsi="Nikosh" w:cs="Nikosh"/>
                <w:sz w:val="26"/>
                <w:szCs w:val="26"/>
                <w:cs/>
              </w:rPr>
              <w:t>২০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১৯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>পর্যন্ত</w:t>
            </w:r>
          </w:p>
        </w:tc>
      </w:tr>
      <w:tr w:rsidR="00EA78D8" w:rsidRPr="001A643A" w:rsidTr="00BA304D">
        <w:tc>
          <w:tcPr>
            <w:tcW w:w="45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৩।</w:t>
            </w:r>
          </w:p>
        </w:tc>
        <w:tc>
          <w:tcPr>
            <w:tcW w:w="2159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ব্যয়</w:t>
            </w:r>
          </w:p>
        </w:tc>
        <w:tc>
          <w:tcPr>
            <w:tcW w:w="28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A78D8" w:rsidRPr="00CC3CB1" w:rsidRDefault="000D417D" w:rsidP="008520AE">
            <w:pPr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৮৮৫.৪০</w:t>
            </w:r>
            <w:r w:rsidRPr="00211138">
              <w:rPr>
                <w:rFonts w:ascii="Nikosh" w:eastAsia="Nikosh" w:hAnsi="Nikosh" w:cs="Nikosh" w:hint="cs"/>
                <w:sz w:val="26"/>
                <w:szCs w:val="26"/>
                <w:cs/>
              </w:rPr>
              <w:t xml:space="preserve"> লক্ষ</w:t>
            </w:r>
            <w:r>
              <w:rPr>
                <w:rFonts w:ascii="Nikosh" w:eastAsia="Nikosh" w:hAnsi="Nikosh" w:cs="Nikosh"/>
                <w:sz w:val="26"/>
                <w:szCs w:val="26"/>
              </w:rPr>
              <w:t xml:space="preserve"> </w:t>
            </w: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টাকা।</w:t>
            </w:r>
          </w:p>
        </w:tc>
      </w:tr>
      <w:tr w:rsidR="00EA78D8" w:rsidRPr="001A643A" w:rsidTr="00BA304D">
        <w:tc>
          <w:tcPr>
            <w:tcW w:w="45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৪।</w:t>
            </w:r>
          </w:p>
        </w:tc>
        <w:tc>
          <w:tcPr>
            <w:tcW w:w="2159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প্রকল্পের উদ্দেশ্য</w:t>
            </w:r>
          </w:p>
        </w:tc>
        <w:tc>
          <w:tcPr>
            <w:tcW w:w="28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365B1D" w:rsidRPr="007A496A" w:rsidRDefault="00365B1D" w:rsidP="00FE29EE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7A496A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প্রকল্পটির প্রধান উদ্দেশ্য হলো- </w:t>
            </w:r>
            <w:r w:rsidRPr="00EF2F1F">
              <w:rPr>
                <w:rFonts w:ascii="Nikosh" w:hAnsi="Nikosh" w:cs="Nikosh"/>
                <w:sz w:val="20"/>
                <w:szCs w:val="26"/>
              </w:rPr>
              <w:t xml:space="preserve">To enhance national capacities for safe and environmentally sound recycling of ships in Bangladesh by building its institutional capacity and implementing the training materials developed. </w:t>
            </w:r>
            <w:r w:rsidRPr="007A496A">
              <w:rPr>
                <w:rFonts w:ascii="Nikosh" w:eastAsia="Nikosh" w:hAnsi="Nikosh" w:cs="Nikosh" w:hint="cs"/>
                <w:sz w:val="24"/>
                <w:szCs w:val="24"/>
                <w:cs/>
              </w:rPr>
              <w:t>এছাড়া প্রকল্পের সুনির্দিষ্ট উদ্দেশ্যসমূহ নিম্নরূপঃ</w:t>
            </w:r>
          </w:p>
          <w:p w:rsidR="00365B1D" w:rsidRPr="00EF2F1F" w:rsidRDefault="00365B1D" w:rsidP="00FE29EE">
            <w:pPr>
              <w:pStyle w:val="TableParagraph"/>
              <w:numPr>
                <w:ilvl w:val="0"/>
                <w:numId w:val="6"/>
              </w:numPr>
              <w:ind w:left="413" w:hanging="413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EF2F1F">
              <w:rPr>
                <w:rFonts w:ascii="Nikosh" w:hAnsi="Nikosh" w:cs="Nikosh"/>
                <w:sz w:val="20"/>
                <w:szCs w:val="20"/>
              </w:rPr>
              <w:t xml:space="preserve">To support the alignment between the national legal and institutional framework and international standards. </w:t>
            </w:r>
          </w:p>
          <w:p w:rsidR="00365B1D" w:rsidRPr="00EF2F1F" w:rsidRDefault="00365B1D" w:rsidP="00FE29EE">
            <w:pPr>
              <w:pStyle w:val="TableParagraph"/>
              <w:numPr>
                <w:ilvl w:val="0"/>
                <w:numId w:val="6"/>
              </w:numPr>
              <w:ind w:left="413" w:hanging="413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EF2F1F">
              <w:rPr>
                <w:rFonts w:ascii="Nikosh" w:hAnsi="Nikosh" w:cs="Nikosh"/>
                <w:sz w:val="20"/>
                <w:szCs w:val="20"/>
              </w:rPr>
              <w:t>To effective delivery of training for ship recycling workers following the training modules as developed under SENSREC Phase-I project</w:t>
            </w:r>
          </w:p>
          <w:p w:rsidR="00365B1D" w:rsidRPr="00EF2F1F" w:rsidRDefault="00365B1D" w:rsidP="00FE29EE">
            <w:pPr>
              <w:pStyle w:val="TableParagraph"/>
              <w:numPr>
                <w:ilvl w:val="0"/>
                <w:numId w:val="6"/>
              </w:numPr>
              <w:ind w:left="413" w:hanging="413"/>
              <w:jc w:val="both"/>
              <w:rPr>
                <w:rFonts w:ascii="Nikosh" w:hAnsi="Nikosh" w:cs="Nikosh"/>
                <w:spacing w:val="24"/>
                <w:sz w:val="20"/>
                <w:szCs w:val="20"/>
              </w:rPr>
            </w:pPr>
            <w:r w:rsidRPr="00EF2F1F">
              <w:rPr>
                <w:rFonts w:ascii="Nikosh" w:hAnsi="Nikosh" w:cs="Nikosh"/>
                <w:sz w:val="20"/>
                <w:szCs w:val="20"/>
              </w:rPr>
              <w:t>To raising awareness for</w:t>
            </w:r>
            <w:r w:rsidRPr="00EF2F1F">
              <w:rPr>
                <w:rFonts w:ascii="Nikosh" w:hAnsi="Nikosh" w:cs="Nikosh"/>
                <w:spacing w:val="21"/>
                <w:sz w:val="20"/>
                <w:szCs w:val="20"/>
              </w:rPr>
              <w:t xml:space="preserve"> </w:t>
            </w:r>
            <w:r w:rsidRPr="00EF2F1F">
              <w:rPr>
                <w:rFonts w:ascii="Nikosh" w:hAnsi="Nikosh" w:cs="Nikosh"/>
                <w:sz w:val="20"/>
                <w:szCs w:val="20"/>
              </w:rPr>
              <w:t>decision-makers</w:t>
            </w:r>
            <w:r w:rsidRPr="00EF2F1F">
              <w:rPr>
                <w:rFonts w:ascii="Nikosh" w:hAnsi="Nikosh" w:cs="Nikosh"/>
                <w:spacing w:val="24"/>
                <w:sz w:val="20"/>
                <w:szCs w:val="20"/>
              </w:rPr>
              <w:t xml:space="preserve"> on training modules of Phase I</w:t>
            </w:r>
          </w:p>
          <w:p w:rsidR="00365B1D" w:rsidRPr="00EF2F1F" w:rsidRDefault="00365B1D" w:rsidP="00FE29EE">
            <w:pPr>
              <w:pStyle w:val="TableParagraph"/>
              <w:numPr>
                <w:ilvl w:val="0"/>
                <w:numId w:val="6"/>
              </w:numPr>
              <w:ind w:left="413" w:hanging="413"/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EF2F1F">
              <w:rPr>
                <w:rFonts w:ascii="Nikosh" w:hAnsi="Nikosh" w:cs="Nikosh"/>
                <w:spacing w:val="24"/>
                <w:sz w:val="20"/>
                <w:szCs w:val="20"/>
              </w:rPr>
              <w:t xml:space="preserve">To </w:t>
            </w:r>
            <w:r w:rsidRPr="00EF2F1F">
              <w:rPr>
                <w:rFonts w:ascii="Nikosh" w:hAnsi="Nikosh" w:cs="Nikosh"/>
                <w:sz w:val="20"/>
                <w:szCs w:val="20"/>
              </w:rPr>
              <w:t>expand</w:t>
            </w:r>
            <w:r w:rsidRPr="00EF2F1F">
              <w:rPr>
                <w:rFonts w:ascii="Nikosh" w:hAnsi="Nikosh" w:cs="Nikosh"/>
                <w:spacing w:val="24"/>
                <w:sz w:val="20"/>
                <w:szCs w:val="20"/>
              </w:rPr>
              <w:t xml:space="preserve"> </w:t>
            </w:r>
            <w:r w:rsidRPr="00EF2F1F">
              <w:rPr>
                <w:rFonts w:ascii="Nikosh" w:hAnsi="Nikosh" w:cs="Nikosh"/>
                <w:sz w:val="20"/>
                <w:szCs w:val="20"/>
              </w:rPr>
              <w:t xml:space="preserve">the pool of trainers through Train-the-trainer course. </w:t>
            </w:r>
          </w:p>
          <w:p w:rsidR="00EA78D8" w:rsidRPr="00365B1D" w:rsidRDefault="00365B1D" w:rsidP="00FE29EE">
            <w:pPr>
              <w:pStyle w:val="TableParagraph"/>
              <w:numPr>
                <w:ilvl w:val="0"/>
                <w:numId w:val="6"/>
              </w:numPr>
              <w:ind w:left="413" w:hanging="413"/>
              <w:jc w:val="both"/>
              <w:rPr>
                <w:rFonts w:ascii="Times New Roman" w:hAnsi="Times New Roman" w:cs="Times New Roman"/>
                <w:cs/>
              </w:rPr>
            </w:pPr>
            <w:r w:rsidRPr="00EF2F1F">
              <w:rPr>
                <w:rFonts w:ascii="Nikosh" w:hAnsi="Nikosh" w:cs="Nikosh"/>
                <w:sz w:val="20"/>
                <w:szCs w:val="20"/>
              </w:rPr>
              <w:t xml:space="preserve">To establish a robust training management and governance system. </w:t>
            </w:r>
          </w:p>
        </w:tc>
      </w:tr>
      <w:tr w:rsidR="00EA78D8" w:rsidRPr="001A643A" w:rsidTr="00BA304D">
        <w:tc>
          <w:tcPr>
            <w:tcW w:w="45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৫।</w:t>
            </w:r>
          </w:p>
        </w:tc>
        <w:tc>
          <w:tcPr>
            <w:tcW w:w="2159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প্রকল্প পরিচালকের নাম ও মোবাইল নং</w:t>
            </w:r>
          </w:p>
        </w:tc>
        <w:tc>
          <w:tcPr>
            <w:tcW w:w="285" w:type="dxa"/>
          </w:tcPr>
          <w:p w:rsidR="00EA78D8" w:rsidRPr="001A643A" w:rsidRDefault="00EA78D8" w:rsidP="008520AE">
            <w:pPr>
              <w:rPr>
                <w:rFonts w:ascii="Nikosh" w:hAnsi="Nikosh" w:cs="Nikosh"/>
                <w:sz w:val="26"/>
                <w:szCs w:val="26"/>
                <w:cs/>
              </w:rPr>
            </w:pPr>
            <w:r w:rsidRPr="001A643A">
              <w:rPr>
                <w:rFonts w:ascii="Nikosh" w:hAnsi="Nikosh" w:cs="Nikosh" w:hint="cs"/>
                <w:sz w:val="26"/>
                <w:szCs w:val="26"/>
                <w:cs/>
              </w:rPr>
              <w:t>:</w:t>
            </w:r>
          </w:p>
        </w:tc>
        <w:tc>
          <w:tcPr>
            <w:tcW w:w="6731" w:type="dxa"/>
          </w:tcPr>
          <w:p w:rsidR="00EA78D8" w:rsidRPr="001A643A" w:rsidRDefault="00437985" w:rsidP="008520AE">
            <w:pPr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eastAsia="Nikosh" w:hAnsi="Nikosh" w:cs="Nikosh" w:hint="cs"/>
                <w:sz w:val="26"/>
                <w:szCs w:val="26"/>
                <w:cs/>
              </w:rPr>
              <w:t>-</w:t>
            </w:r>
          </w:p>
        </w:tc>
      </w:tr>
    </w:tbl>
    <w:p w:rsidR="00EA78D8" w:rsidRPr="00030399" w:rsidRDefault="00EA78D8" w:rsidP="009D5AC2">
      <w:pPr>
        <w:spacing w:after="0" w:line="240" w:lineRule="auto"/>
        <w:rPr>
          <w:rFonts w:ascii="Nikosh" w:hAnsi="Nikosh" w:cs="Nikosh"/>
          <w:sz w:val="28"/>
        </w:rPr>
      </w:pPr>
    </w:p>
    <w:sectPr w:rsidR="00EA78D8" w:rsidRPr="00030399" w:rsidSect="00030399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8F2"/>
    <w:multiLevelType w:val="hybridMultilevel"/>
    <w:tmpl w:val="66A2C590"/>
    <w:lvl w:ilvl="0" w:tplc="DCFAE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566D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C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5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0FF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4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68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1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28D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408"/>
    <w:multiLevelType w:val="hybridMultilevel"/>
    <w:tmpl w:val="6FD6C9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7E6"/>
    <w:multiLevelType w:val="hybridMultilevel"/>
    <w:tmpl w:val="CA2E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2C54"/>
    <w:multiLevelType w:val="hybridMultilevel"/>
    <w:tmpl w:val="5F8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E4D84"/>
    <w:multiLevelType w:val="hybridMultilevel"/>
    <w:tmpl w:val="1780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7B85"/>
    <w:multiLevelType w:val="hybridMultilevel"/>
    <w:tmpl w:val="D58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30399"/>
    <w:rsid w:val="00030399"/>
    <w:rsid w:val="00053294"/>
    <w:rsid w:val="00095588"/>
    <w:rsid w:val="000A2F2E"/>
    <w:rsid w:val="000B6C5F"/>
    <w:rsid w:val="000D417D"/>
    <w:rsid w:val="00134891"/>
    <w:rsid w:val="001370E0"/>
    <w:rsid w:val="00154557"/>
    <w:rsid w:val="00167DF8"/>
    <w:rsid w:val="00170983"/>
    <w:rsid w:val="00175263"/>
    <w:rsid w:val="00175D33"/>
    <w:rsid w:val="0019464C"/>
    <w:rsid w:val="001A643A"/>
    <w:rsid w:val="001C6DE4"/>
    <w:rsid w:val="001D599A"/>
    <w:rsid w:val="001E46E7"/>
    <w:rsid w:val="002333A4"/>
    <w:rsid w:val="00236AB4"/>
    <w:rsid w:val="00255380"/>
    <w:rsid w:val="00277158"/>
    <w:rsid w:val="002A2AFB"/>
    <w:rsid w:val="002C097D"/>
    <w:rsid w:val="002E2C1F"/>
    <w:rsid w:val="00343CE7"/>
    <w:rsid w:val="003477C4"/>
    <w:rsid w:val="00365B1D"/>
    <w:rsid w:val="003A6DB6"/>
    <w:rsid w:val="003B335C"/>
    <w:rsid w:val="00420B15"/>
    <w:rsid w:val="004278AA"/>
    <w:rsid w:val="00432B51"/>
    <w:rsid w:val="00437985"/>
    <w:rsid w:val="00475777"/>
    <w:rsid w:val="004D1E9D"/>
    <w:rsid w:val="005A31B8"/>
    <w:rsid w:val="005B584B"/>
    <w:rsid w:val="005D79B9"/>
    <w:rsid w:val="006167D5"/>
    <w:rsid w:val="00645859"/>
    <w:rsid w:val="006730B5"/>
    <w:rsid w:val="00681B4B"/>
    <w:rsid w:val="00690E8B"/>
    <w:rsid w:val="006916F0"/>
    <w:rsid w:val="006A189C"/>
    <w:rsid w:val="006E2666"/>
    <w:rsid w:val="00707EFB"/>
    <w:rsid w:val="007419BE"/>
    <w:rsid w:val="00745166"/>
    <w:rsid w:val="007A46BA"/>
    <w:rsid w:val="007B76FB"/>
    <w:rsid w:val="0084760A"/>
    <w:rsid w:val="008520AE"/>
    <w:rsid w:val="00853A34"/>
    <w:rsid w:val="008555B6"/>
    <w:rsid w:val="0088523B"/>
    <w:rsid w:val="00891C32"/>
    <w:rsid w:val="00895656"/>
    <w:rsid w:val="008C2B9F"/>
    <w:rsid w:val="00932766"/>
    <w:rsid w:val="00942055"/>
    <w:rsid w:val="0098141B"/>
    <w:rsid w:val="009D5AC2"/>
    <w:rsid w:val="00A0251C"/>
    <w:rsid w:val="00A07BB3"/>
    <w:rsid w:val="00A151AA"/>
    <w:rsid w:val="00A44E20"/>
    <w:rsid w:val="00A54319"/>
    <w:rsid w:val="00A93335"/>
    <w:rsid w:val="00AF31EC"/>
    <w:rsid w:val="00AF42D1"/>
    <w:rsid w:val="00AF69EA"/>
    <w:rsid w:val="00B21FFE"/>
    <w:rsid w:val="00B27ACE"/>
    <w:rsid w:val="00B53E02"/>
    <w:rsid w:val="00B560B5"/>
    <w:rsid w:val="00B86567"/>
    <w:rsid w:val="00BC07FB"/>
    <w:rsid w:val="00C51B33"/>
    <w:rsid w:val="00C57F41"/>
    <w:rsid w:val="00CC3CB1"/>
    <w:rsid w:val="00CD3DD1"/>
    <w:rsid w:val="00CD6269"/>
    <w:rsid w:val="00CF2929"/>
    <w:rsid w:val="00CF4DEF"/>
    <w:rsid w:val="00D6127F"/>
    <w:rsid w:val="00D726AF"/>
    <w:rsid w:val="00EA78D8"/>
    <w:rsid w:val="00EB39E7"/>
    <w:rsid w:val="00EB62CE"/>
    <w:rsid w:val="00EB63DC"/>
    <w:rsid w:val="00EC360A"/>
    <w:rsid w:val="00EF2F1F"/>
    <w:rsid w:val="00F3742B"/>
    <w:rsid w:val="00F52FF8"/>
    <w:rsid w:val="00F62ACD"/>
    <w:rsid w:val="00F635C2"/>
    <w:rsid w:val="00FA4930"/>
    <w:rsid w:val="00FE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07BB3"/>
    <w:pPr>
      <w:ind w:left="720"/>
      <w:contextualSpacing/>
    </w:pPr>
    <w:rPr>
      <w:szCs w:val="22"/>
      <w:lang w:bidi="ar-SA"/>
    </w:rPr>
  </w:style>
  <w:style w:type="paragraph" w:styleId="NoSpacing">
    <w:name w:val="No Spacing"/>
    <w:qFormat/>
    <w:rsid w:val="00AF42D1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365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2018-07-30T04:22:00Z</dcterms:created>
  <dcterms:modified xsi:type="dcterms:W3CDTF">2018-07-30T07:17:00Z</dcterms:modified>
</cp:coreProperties>
</file>